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3 (Apache licensed) using REFERENCE JAXB in Oracle Java 11.0.5 on Linux -->
    <w:p>
      <w:pPr>
        <w:pStyle w:val="TitleStyle"/>
      </w:pPr>
      <w:r>
        <w:t>Ordinul 153/2003 pentru aprobarea Normelor metodologice privind înfiinţarea, organizarea şi funcţionarea cabinetelor medicale</w:t>
      </w:r>
    </w:p>
    <w:p>
      <w:pPr>
        <w:pStyle w:val="NormalStyle"/>
      </w:pPr>
      <w:r>
        <w:t>Ordinul 153/2003 din 2003.05.23</w:t>
      </w:r>
    </w:p>
    <w:p>
      <w:pPr>
        <w:pStyle w:val="NormalStyle"/>
      </w:pPr>
      <w:r>
        <w:t xml:space="preserve">Status: Acte în vigoare </w:t>
      </w:r>
    </w:p>
    <w:p>
      <w:pPr>
        <w:pStyle w:val="NormalStyle"/>
      </w:pPr>
      <w:r>
        <w:t xml:space="preserve">Versiune de la: 5 iunie 2020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Intră în vigoare:</w:t>
      </w:r>
    </w:p>
    <w:p>
      <w:pPr>
        <w:spacing w:after="0"/>
        <w:ind w:left="0"/>
        <w:jc w:val="left"/>
        <w:textAlignment w:val="auto"/>
      </w:pPr>
      <w:r>
        <w:rPr>
          <w:rFonts w:ascii="Times New Roman"/>
          <w:b w:val="false"/>
          <w:i w:val="false"/>
          <w:color w:val="000000"/>
          <w:sz w:val="24"/>
          <w:lang w:val="pl-Pl"/>
        </w:rPr>
        <w:t xml:space="preserve"> 23 mai 2003 An</w:t>
      </w:r>
    </w:p>
    <w:p>
      <w:pPr>
        <w:spacing w:after="0"/>
        <w:ind w:left="0"/>
        <w:jc w:val="left"/>
        <w:textAlignment w:val="auto"/>
      </w:pPr>
      <w:r>
        <w:rPr>
          <w:rFonts w:ascii="Times New Roman"/>
          <w:b/>
          <w:i w:val="false"/>
          <w:color w:val="000000"/>
          <w:sz w:val="24"/>
          <w:lang w:val="pl-Pl"/>
        </w:rPr>
        <w:t>
Abrogat:
</w:t>
      </w:r>
    </w:p>
    <w:p>
      <w:pPr>
        <w:spacing w:after="0"/>
        <w:ind w:left="0"/>
        <w:jc w:val="left"/>
        <w:textAlignment w:val="auto"/>
      </w:pPr>
      <w:r>
        <w:rPr>
          <w:rFonts w:ascii="Times New Roman"/>
          <w:b w:val="false"/>
          <w:i w:val="false"/>
          <w:color w:val="000000"/>
          <w:sz w:val="24"/>
          <w:lang w:val="pl-Pl"/>
        </w:rPr>
        <w:t xml:space="preserve"> 13 octombrie 2173 An</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Ordinul 153/2003 pentru aprobarea Normelor metodologice privind înfiinţarea, organizarea şi funcţionarea cabinetelor medicale</w:t>
      </w:r>
    </w:p>
    <w:p>
      <w:pPr>
        <w:spacing w:before="80" w:after="0"/>
        <w:ind w:left="0"/>
        <w:jc w:val="center"/>
        <w:textAlignment w:val="auto"/>
      </w:pPr>
      <w:r>
        <w:rPr>
          <w:rFonts w:ascii="Times New Roman"/>
          <w:b w:val="false"/>
          <w:i w:val="false"/>
          <w:color w:val="000000"/>
          <w:sz w:val="24"/>
          <w:lang w:val="pl-Pl"/>
        </w:rPr>
        <w:t>Dată act: 26-feb-2003</w:t>
      </w:r>
    </w:p>
    <w:p>
      <w:pPr>
        <w:spacing w:after="0"/>
        <w:ind w:left="0"/>
        <w:jc w:val="center"/>
        <w:textAlignment w:val="auto"/>
      </w:pPr>
      <w:r>
        <w:rPr>
          <w:rFonts w:ascii="Times New Roman"/>
          <w:b/>
          <w:i w:val="false"/>
          <w:color w:val="000000"/>
          <w:sz w:val="24"/>
          <w:lang w:val="pl-Pl"/>
        </w:rPr>
        <w:t>Emitent: Ministerul Sanatatii si Familiei</w:t>
      </w:r>
    </w:p>
    <w:p>
      <w:pPr>
        <w:spacing w:before="80" w:after="240"/>
        <w:ind w:left="0"/>
        <w:jc w:val="center"/>
        <w:textAlignment w:val="auto"/>
      </w:pPr>
    </w:p>
    <w:p>
      <w:pPr>
        <w:spacing w:before="26" w:after="240"/>
        <w:ind w:left="0"/>
        <w:jc w:val="left"/>
        <w:textAlignment w:val="auto"/>
      </w:pPr>
      <w:r>
        <w:rPr>
          <w:rFonts w:ascii="Times New Roman"/>
          <w:b w:val="false"/>
          <w:i w:val="false"/>
          <w:color w:val="000000"/>
          <w:sz w:val="24"/>
          <w:lang w:val="pl-Pl"/>
        </w:rPr>
        <w:t xml:space="preserve">Având în vedere art. 15 din Legea nr. </w:t>
      </w:r>
      <w:r>
        <w:rPr>
          <w:rFonts w:ascii="Times New Roman"/>
          <w:b w:val="false"/>
          <w:i w:val="false"/>
          <w:color w:val="1b1b1b"/>
          <w:sz w:val="24"/>
          <w:lang w:val="pl-Pl"/>
        </w:rPr>
        <w:t>629/2001</w:t>
      </w:r>
      <w:r>
        <w:rPr>
          <w:rFonts w:ascii="Times New Roman"/>
          <w:b w:val="false"/>
          <w:i w:val="false"/>
          <w:color w:val="000000"/>
          <w:sz w:val="24"/>
          <w:lang w:val="pl-Pl"/>
        </w:rPr>
        <w:t xml:space="preserve"> pentru aprobarea Ordonanţei Guvernului nr. </w:t>
      </w:r>
      <w:r>
        <w:rPr>
          <w:rFonts w:ascii="Times New Roman"/>
          <w:b w:val="false"/>
          <w:i w:val="false"/>
          <w:color w:val="1b1b1b"/>
          <w:sz w:val="24"/>
          <w:lang w:val="pl-Pl"/>
        </w:rPr>
        <w:t>124/1998</w:t>
      </w:r>
      <w:r>
        <w:rPr>
          <w:rFonts w:ascii="Times New Roman"/>
          <w:b w:val="false"/>
          <w:i w:val="false"/>
          <w:color w:val="000000"/>
          <w:sz w:val="24"/>
          <w:lang w:val="pl-Pl"/>
        </w:rPr>
        <w:t xml:space="preserve"> privind organizarea şi funcţionarea cabinetelor medicale,</w:t>
      </w:r>
    </w:p>
    <w:p>
      <w:pPr>
        <w:spacing w:before="26" w:after="240"/>
        <w:ind w:left="0"/>
        <w:jc w:val="left"/>
        <w:textAlignment w:val="auto"/>
      </w:pPr>
      <w:r>
        <w:rPr>
          <w:rFonts w:ascii="Times New Roman"/>
          <w:b w:val="false"/>
          <w:i w:val="false"/>
          <w:color w:val="000000"/>
          <w:sz w:val="24"/>
          <w:lang w:val="pl-Pl"/>
        </w:rPr>
        <w:t>văzând Referatul de aprobare al Direcţiei politici de dezvoltare, programe Banca Mondială şi privatizare nr. DB 1.759/2003,</w:t>
      </w:r>
    </w:p>
    <w:p>
      <w:pPr>
        <w:spacing w:before="26" w:after="240"/>
        <w:ind w:left="0"/>
        <w:jc w:val="left"/>
        <w:textAlignment w:val="auto"/>
      </w:pPr>
      <w:r>
        <w:rPr>
          <w:rFonts w:ascii="Times New Roman"/>
          <w:b w:val="false"/>
          <w:i w:val="false"/>
          <w:color w:val="000000"/>
          <w:sz w:val="24"/>
          <w:lang w:val="pl-Pl"/>
        </w:rPr>
        <w:t xml:space="preserve">în temeiul Hotărârii Guvernului nr. </w:t>
      </w:r>
      <w:r>
        <w:rPr>
          <w:rFonts w:ascii="Times New Roman"/>
          <w:b w:val="false"/>
          <w:i w:val="false"/>
          <w:color w:val="1b1b1b"/>
          <w:sz w:val="24"/>
          <w:lang w:val="pl-Pl"/>
        </w:rPr>
        <w:t>22/2001</w:t>
      </w:r>
      <w:r>
        <w:rPr>
          <w:rFonts w:ascii="Times New Roman"/>
          <w:b w:val="false"/>
          <w:i w:val="false"/>
          <w:color w:val="000000"/>
          <w:sz w:val="24"/>
          <w:lang w:val="pl-Pl"/>
        </w:rPr>
        <w:t xml:space="preserve"> privind organizarea şi funcţionarea Ministerului Sănătăţii şi Familiei, cu modificările şi completările ulterioare,</w:t>
      </w:r>
    </w:p>
    <w:p>
      <w:pPr>
        <w:spacing w:before="26" w:after="240"/>
        <w:ind w:left="0"/>
        <w:jc w:val="left"/>
        <w:textAlignment w:val="auto"/>
      </w:pPr>
      <w:r>
        <w:rPr>
          <w:rFonts w:ascii="Times New Roman"/>
          <w:b/>
          <w:i w:val="false"/>
          <w:color w:val="000000"/>
          <w:sz w:val="24"/>
          <w:lang w:val="pl-Pl"/>
        </w:rPr>
        <w:t>ministrul sănătăţii şi familiei</w:t>
      </w:r>
      <w:r>
        <w:rPr>
          <w:rFonts w:ascii="Times New Roman"/>
          <w:b w:val="false"/>
          <w:i w:val="false"/>
          <w:color w:val="000000"/>
          <w:sz w:val="24"/>
          <w:lang w:val="pl-Pl"/>
        </w:rPr>
        <w:t xml:space="preserve"> emite următorul ordin: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p>
    <w:p>
      <w:pPr>
        <w:spacing w:after="0"/>
        <w:ind w:left="0"/>
        <w:jc w:val="left"/>
        <w:textAlignment w:val="auto"/>
      </w:pPr>
      <w:r>
        <w:rPr>
          <w:rFonts w:ascii="Times New Roman"/>
          <w:b w:val="false"/>
          <w:i w:val="false"/>
          <w:color w:val="000000"/>
          <w:sz w:val="24"/>
          <w:lang w:val="pl-Pl"/>
        </w:rPr>
        <w:t>Se aprobă Normele metodologice privind înfiinţarea, organizarea şi funcţionarea cabinetelor medicale, cuprinse în anexa nr.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p>
    <w:p>
      <w:pPr>
        <w:spacing w:after="0"/>
        <w:ind w:left="0"/>
        <w:jc w:val="left"/>
        <w:textAlignment w:val="auto"/>
      </w:pPr>
      <w:r>
        <w:rPr>
          <w:rFonts w:ascii="Times New Roman"/>
          <w:b w:val="false"/>
          <w:i w:val="false"/>
          <w:color w:val="000000"/>
          <w:sz w:val="24"/>
          <w:lang w:val="pl-Pl"/>
        </w:rPr>
        <w:t>Dotarea minimă obligatorie pentru cabinetele medicale de specialitate este prevăzută în anexa nr.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p>
    <w:p>
      <w:pPr>
        <w:spacing w:after="0"/>
        <w:ind w:left="0"/>
        <w:jc w:val="left"/>
        <w:textAlignment w:val="auto"/>
      </w:pPr>
      <w:r>
        <w:rPr>
          <w:rFonts w:ascii="Times New Roman"/>
          <w:b w:val="false"/>
          <w:i w:val="false"/>
          <w:color w:val="000000"/>
          <w:sz w:val="24"/>
          <w:lang w:val="pl-Pl"/>
        </w:rPr>
        <w:t>Anexele nr. 1 şi 2 fac parte integrantă din prezentul ordin.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w:t>
      </w:r>
    </w:p>
    <w:p>
      <w:pPr>
        <w:spacing w:after="0"/>
        <w:ind w:left="0"/>
        <w:jc w:val="left"/>
        <w:textAlignment w:val="auto"/>
      </w:pPr>
      <w:r>
        <w:rPr>
          <w:rFonts w:ascii="Times New Roman"/>
          <w:b w:val="false"/>
          <w:i w:val="false"/>
          <w:color w:val="000000"/>
          <w:sz w:val="24"/>
          <w:lang w:val="pl-Pl"/>
        </w:rPr>
        <w:t>Direcţiile de specialitate din cadrul Ministerului Sănătăţii şi Familiei, precum şi direcţiile de sănătate publică judeţene şi a municipiului Bucureşti vor duce la îndeplinire prevederile prezentului ordin.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p>
    <w:p>
      <w:pPr>
        <w:spacing w:after="0"/>
        <w:ind w:left="0"/>
        <w:jc w:val="left"/>
        <w:textAlignment w:val="auto"/>
      </w:pPr>
      <w:r>
        <w:rPr>
          <w:rFonts w:ascii="Times New Roman"/>
          <w:b w:val="false"/>
          <w:i w:val="false"/>
          <w:color w:val="000000"/>
          <w:sz w:val="24"/>
          <w:lang w:val="pl-Pl"/>
        </w:rPr>
        <w:t xml:space="preserve">Pe data intrării în vigoare a prezentului ordin Normele nr. </w:t>
      </w:r>
      <w:r>
        <w:rPr>
          <w:rFonts w:ascii="Times New Roman"/>
          <w:b w:val="false"/>
          <w:i w:val="false"/>
          <w:color w:val="1b1b1b"/>
          <w:sz w:val="24"/>
          <w:lang w:val="pl-Pl"/>
        </w:rPr>
        <w:t>786/1998</w:t>
      </w:r>
      <w:r>
        <w:rPr>
          <w:rFonts w:ascii="Times New Roman"/>
          <w:b w:val="false"/>
          <w:i w:val="false"/>
          <w:color w:val="000000"/>
          <w:sz w:val="24"/>
          <w:lang w:val="pl-Pl"/>
        </w:rPr>
        <w:t xml:space="preserve"> privind formele de exercitare a profesiunii de medic, aprobate prin Ordonanţa Guvernului nr. </w:t>
      </w:r>
      <w:r>
        <w:rPr>
          <w:rFonts w:ascii="Times New Roman"/>
          <w:b w:val="false"/>
          <w:i w:val="false"/>
          <w:color w:val="1b1b1b"/>
          <w:sz w:val="24"/>
          <w:lang w:val="pl-Pl"/>
        </w:rPr>
        <w:t>124/1998</w:t>
      </w:r>
      <w:r>
        <w:rPr>
          <w:rFonts w:ascii="Times New Roman"/>
          <w:b w:val="false"/>
          <w:i w:val="false"/>
          <w:color w:val="000000"/>
          <w:sz w:val="24"/>
          <w:lang w:val="pl-Pl"/>
        </w:rPr>
        <w:t xml:space="preserve"> privind organizarea şi funcţionarea cabinetelor medicale, emise de Ministerul Sănătăţii şi de Colegiul Medicilor din România şi publicate în Monitorul Oficial al României, Partea I, nr. 470 din 8 decembrie 1998, precum şi anexa nr. 2 la Ordinul ministrului sănătăţii nr. 84/1998 privind autorizaţia de liberă practică medicală din România îşi încetează aplicabilitatea.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p>
    <w:p>
      <w:pPr>
        <w:spacing w:after="0"/>
        <w:ind w:left="0"/>
        <w:jc w:val="left"/>
        <w:textAlignment w:val="auto"/>
      </w:pPr>
      <w:r>
        <w:rPr>
          <w:rFonts w:ascii="Times New Roman"/>
          <w:b w:val="false"/>
          <w:i w:val="false"/>
          <w:color w:val="000000"/>
          <w:sz w:val="24"/>
          <w:lang w:val="pl-Pl"/>
        </w:rPr>
        <w:t>Prezentul ordin se va publica în Monitorul Oficial al României, Partea I.</w:t>
      </w:r>
    </w:p>
    <w:p>
      <w:pPr>
        <w:spacing w:before="26" w:after="240"/>
        <w:ind w:left="0"/>
        <w:jc w:val="left"/>
        <w:textAlignment w:val="auto"/>
      </w:pPr>
      <w:r>
        <w:rPr>
          <w:rFonts w:ascii="Times New Roman"/>
          <w:b w:val="false"/>
          <w:i w:val="false"/>
          <w:color w:val="000000"/>
          <w:sz w:val="24"/>
          <w:lang w:val="pl-Pl"/>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Ministrul sănătăţii şi familiei,</w:t>
            </w:r>
          </w:p>
          <w:p>
            <w:pPr>
              <w:spacing w:before="25" w:after="0"/>
              <w:ind w:left="0"/>
              <w:jc w:val="left"/>
              <w:textAlignment w:val="auto"/>
            </w:pPr>
            <w:r>
              <w:rPr>
                <w:rFonts w:ascii="Times New Roman"/>
                <w:b/>
                <w:i w:val="false"/>
                <w:color w:val="000000"/>
                <w:sz w:val="24"/>
                <w:lang w:val="pl-Pl"/>
              </w:rPr>
              <w:t>Daniela Bartoş</w:t>
            </w:r>
          </w:p>
        </w:tc>
      </w:tr>
    </w:tbl>
    <w:p>
      <w:pPr>
        <w:spacing w:after="0"/>
        <w:ind w:left="0"/>
        <w:jc w:val="left"/>
        <w:textAlignment w:val="auto"/>
      </w:pPr>
    </w:p>
    <w:p>
      <w:pPr>
        <w:spacing w:before="80" w:after="0"/>
        <w:ind w:left="0"/>
        <w:jc w:val="center"/>
        <w:textAlignment w:val="auto"/>
      </w:pPr>
      <w:r>
        <w:rPr>
          <w:rFonts w:ascii="Times New Roman"/>
          <w:b/>
          <w:i w:val="false"/>
          <w:color w:val="000000"/>
          <w:sz w:val="24"/>
          <w:lang w:val="pl-Pl"/>
        </w:rPr>
        <w:t>ANEXA nr. 1:</w:t>
      </w:r>
    </w:p>
    <w:p>
      <w:pPr>
        <w:spacing w:before="26" w:after="240"/>
        <w:ind w:left="0"/>
        <w:jc w:val="left"/>
        <w:textAlignment w:val="auto"/>
      </w:pPr>
      <w:r>
        <w:rPr>
          <w:rFonts w:ascii="Times New Roman"/>
          <w:b w:val="false"/>
          <w:i w:val="false"/>
          <w:color w:val="1b1b1b"/>
          <w:sz w:val="24"/>
          <w:lang w:val="pl-Pl"/>
        </w:rPr>
        <w:t>NORME METODOLOGICE privind înfiinţarea, organizarea şi funcţionarea cabinetelor medicale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ANEXA nr. 2:</w:t>
      </w:r>
    </w:p>
    <w:p>
      <w:pPr>
        <w:spacing w:before="26" w:after="240"/>
        <w:ind w:left="0"/>
        <w:jc w:val="left"/>
        <w:textAlignment w:val="auto"/>
      </w:pPr>
      <w:r>
        <w:rPr>
          <w:rFonts w:ascii="Times New Roman"/>
          <w:b w:val="false"/>
          <w:i w:val="false"/>
          <w:color w:val="000000"/>
          <w:sz w:val="24"/>
          <w:lang w:val="pl-Pl"/>
        </w:rPr>
        <w:t>_____</w:t>
      </w:r>
    </w:p>
    <w:p>
      <w:pPr>
        <w:spacing w:before="26" w:after="240"/>
        <w:ind w:left="0"/>
        <w:jc w:val="left"/>
        <w:textAlignment w:val="auto"/>
      </w:pPr>
      <w:r>
        <w:rPr>
          <w:rFonts w:ascii="Times New Roman"/>
          <w:b w:val="false"/>
          <w:i w:val="false"/>
          <w:color w:val="000000"/>
          <w:sz w:val="24"/>
          <w:vertAlign w:val="superscript"/>
          <w:lang w:val="pl-Pl"/>
        </w:rPr>
        <w:t>*)</w:t>
      </w:r>
      <w:r>
        <w:rPr>
          <w:rFonts w:ascii="Times New Roman"/>
          <w:b w:val="false"/>
          <w:i w:val="false"/>
          <w:color w:val="000000"/>
          <w:sz w:val="24"/>
          <w:lang w:val="pl-Pl"/>
        </w:rPr>
        <w:t>- Anexa nr. 2 se publică în Monitorul Oficial al României, Partea I, nr. 482 bis, care se poate achiziţiona de la Centrul pentru relaţii cu publicul al Regiei Autonome "Monitorul Oficial", Bucureşti, şos. Panduri nr. 1</w:t>
      </w:r>
      <w:r>
        <w:br/>
      </w:r>
    </w:p>
    <w:p>
      <w:pPr>
        <w:spacing w:before="26" w:after="240"/>
        <w:ind w:left="0"/>
        <w:jc w:val="left"/>
        <w:textAlignment w:val="auto"/>
      </w:pPr>
      <w:r>
        <w:rPr>
          <w:rFonts w:ascii="Times New Roman"/>
          <w:b w:val="false"/>
          <w:i w:val="false"/>
          <w:color w:val="000000"/>
          <w:sz w:val="24"/>
          <w:lang w:val="pl-Pl"/>
        </w:rPr>
        <w:t>Publicat în Monitorul Oficial cu numărul 353 din data de 23 mai 2003</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